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 xml:space="preserve">Госдума пересматривает сроки давности для применения дисквалификации по </w:t>
      </w:r>
      <w:proofErr w:type="spellStart"/>
      <w:r>
        <w:rPr>
          <w:rStyle w:val="a4"/>
          <w:rFonts w:ascii="Helvetica" w:hAnsi="Helvetica" w:cs="Helvetica"/>
          <w:color w:val="000000"/>
          <w:sz w:val="20"/>
          <w:szCs w:val="20"/>
        </w:rPr>
        <w:t>КоАП</w:t>
      </w:r>
      <w:proofErr w:type="spellEnd"/>
      <w:r>
        <w:rPr>
          <w:rStyle w:val="a4"/>
          <w:rFonts w:ascii="Helvetica" w:hAnsi="Helvetica" w:cs="Helvetica"/>
          <w:color w:val="000000"/>
          <w:sz w:val="20"/>
          <w:szCs w:val="20"/>
        </w:rPr>
        <w:t xml:space="preserve"> РФ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Для некоторых нарушений срок давности привлечения к ответственности в виде штрафа или предупреждения в два-три раза длиннее, чем для более строгого наказания - дисквалификации.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Предлагается устранить это противоречие и не использовать для дисквалификации в таких случаях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hyperlink r:id="rId4" w:tgtFrame="_blank" w:tooltip="Статья 4.5. Давность привлечения к административной ответственности&#10;«...3.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...»&#10;&quot;Кодекс Российской Федерации об административных правонарушениях&quot; от 30.12.2001 N 195-ФЗ&#10;(ред. от 01.05.2019)&#10;(с изм. и доп., вступ. в силу с 12.05.2019)" w:history="1">
        <w:r>
          <w:rPr>
            <w:rStyle w:val="a5"/>
            <w:rFonts w:ascii="Helvetica" w:hAnsi="Helvetica" w:cs="Helvetica"/>
            <w:color w:val="0077CC"/>
            <w:sz w:val="20"/>
            <w:szCs w:val="20"/>
          </w:rPr>
          <w:t>годичный срок</w:t>
        </w:r>
      </w:hyperlink>
      <w:r>
        <w:rPr>
          <w:rFonts w:ascii="Helvetica" w:hAnsi="Helvetica" w:cs="Helvetica"/>
          <w:color w:val="000000"/>
          <w:sz w:val="20"/>
          <w:szCs w:val="20"/>
        </w:rPr>
        <w:t>. Применяться будет более длительный срок, установленный</w:t>
      </w:r>
      <w:proofErr w:type="gramEnd"/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hyperlink r:id="rId5" w:tgtFrame="_blank" w:tooltip="Статья 4.5. Давность привлечения к административной ответственности&#10;«1.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нарушение законодательства Российской...»&#10;&quot;Кодекс Российской Федерации об административных правонарушениях&quot; от 30.12.2001 N 195-ФЗ&#10;(ред. от 01.05.2019)&#10;(с изм. и доп., вступ. в силу с 12.05.2019)" w:history="1">
        <w:r>
          <w:rPr>
            <w:rStyle w:val="a5"/>
            <w:rFonts w:ascii="Helvetica" w:hAnsi="Helvetica" w:cs="Helvetica"/>
            <w:color w:val="0077CC"/>
            <w:sz w:val="20"/>
            <w:szCs w:val="20"/>
          </w:rPr>
          <w:t>ч. 1 ст. 4.5</w:t>
        </w:r>
      </w:hyperlink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КоАП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РФ. Проект принят в первом чтении.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Правило касается, например, нарушений требований к бухучету или законодательства о банкротстве. Последнюю ситуацию мы подробно рассматривали в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hyperlink r:id="rId6" w:tgtFrame="_blank" w:history="1">
        <w:r>
          <w:rPr>
            <w:rStyle w:val="a5"/>
            <w:rFonts w:ascii="Helvetica" w:hAnsi="Helvetica" w:cs="Helvetica"/>
            <w:color w:val="0077CC"/>
            <w:sz w:val="20"/>
            <w:szCs w:val="20"/>
          </w:rPr>
          <w:t>предыдущей новости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>Документ:</w:t>
      </w:r>
      <w:r>
        <w:rPr>
          <w:rStyle w:val="apple-converted-space"/>
          <w:rFonts w:ascii="Helvetica" w:hAnsi="Helvetica" w:cs="Helvetica"/>
          <w:i/>
          <w:iCs/>
          <w:color w:val="000000"/>
          <w:sz w:val="20"/>
          <w:szCs w:val="20"/>
        </w:rPr>
        <w:t> </w:t>
      </w:r>
      <w:hyperlink r:id="rId7" w:tgtFrame="_blank" w:tooltip="Статья 1&#10;«...часть 3 статьи 4.5 после слова &quot;обнаружения&quot; дополнить словами &quot;, если частью 1 настоящей статьи не предусмотрен более длительный срок давности привлечения к административной ответственности&quot;.»&#10;Проект Федерального закона N 598588-7&#10;&quot;О внесении изменения в статью 4.5 Кодекса Российской Федерации об административных правонарушениях&quot;&#10;(ред., внесенная в ГД ФС РФ, текст по состоянию на 30.11.2018)" w:history="1">
        <w:r>
          <w:rPr>
            <w:rStyle w:val="a5"/>
            <w:rFonts w:ascii="Helvetica" w:hAnsi="Helvetica" w:cs="Helvetica"/>
            <w:i/>
            <w:iCs/>
            <w:color w:val="0077CC"/>
            <w:sz w:val="20"/>
            <w:szCs w:val="20"/>
          </w:rPr>
          <w:t>Проект</w:t>
        </w:r>
      </w:hyperlink>
      <w:r>
        <w:rPr>
          <w:rStyle w:val="apple-converted-space"/>
          <w:rFonts w:ascii="Helvetica" w:hAnsi="Helvetica" w:cs="Helvetica"/>
          <w:i/>
          <w:iCs/>
          <w:color w:val="000000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федерального закона N 598588-7</w:t>
      </w:r>
    </w:p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hyperlink r:id="rId8" w:tgtFrame="_blank" w:history="1"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"Перечень поручений по вопросам популяризации географии"</w:t>
        </w:r>
        <w:r>
          <w:rPr>
            <w:rFonts w:ascii="Helvetica" w:hAnsi="Helvetica" w:cs="Helvetica"/>
            <w:b/>
            <w:bCs/>
            <w:color w:val="0077CC"/>
            <w:sz w:val="20"/>
            <w:szCs w:val="20"/>
            <w:u w:val="single"/>
          </w:rPr>
          <w:br/>
        </w:r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(утв. Президентом РФ 15.05.2019 N Пр-837)</w:t>
        </w:r>
      </w:hyperlink>
    </w:p>
    <w:p w:rsidR="00DE36EB" w:rsidRDefault="00DE36EB" w:rsidP="00DE36EB">
      <w:pPr>
        <w:pStyle w:val="revannmailrucssattributepostfix"/>
        <w:shd w:val="clear" w:color="auto" w:fill="FFFFFF"/>
        <w:spacing w:line="273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Президент РФ поручил установить профессиональный праздник - День географа, предусмотрев его празднование 18 августа</w:t>
      </w:r>
    </w:p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 целях популяризации географии и повышения престижа профессии географа Правительству РФ утвержден перечень поручений, в числе которых:</w:t>
      </w:r>
    </w:p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рассмотрение вопроса о целесообразности внесения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Общероссийский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классификатор занятий изменений, предусматривающих включение в него группы занятий "Географы";</w:t>
      </w:r>
    </w:p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 подготовка предложений по определению трудовых функций специалистов в области географии в зависимости от вида их профессиональной деятельности и определению умений и знаний, необходимых для выполнения этих функций, а также проведение мероприятий по разработке профессионального стандарта "Географ";</w:t>
      </w:r>
    </w:p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 утверждение профессионального стандарта "Географ";</w:t>
      </w:r>
    </w:p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подготовка предложений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по включению в перечень вступительных испытаний при приеме на обучение по образовательным программам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высшего образования - программам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бакалавриата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и программам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специалитета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обязательного вступительного испытания по географии, которое будет проводиться при приеме на обучение по направлениям подготовки и специальностям, требующим знания этого учебного предмета.</w:t>
      </w:r>
    </w:p>
    <w:p w:rsidR="00DE36EB" w:rsidRDefault="00DE36EB" w:rsidP="00DE36EB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hyperlink r:id="rId9" w:tgtFrame="_blank" w:history="1"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Проект Федерального закона</w:t>
        </w:r>
        <w:r>
          <w:rPr>
            <w:rFonts w:ascii="Helvetica" w:hAnsi="Helvetica" w:cs="Helvetica"/>
            <w:b/>
            <w:bCs/>
            <w:color w:val="0077CC"/>
            <w:sz w:val="20"/>
            <w:szCs w:val="20"/>
            <w:u w:val="single"/>
          </w:rPr>
          <w:br/>
        </w:r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"О государственном контроле (надзоре) и муниципальном контроле в Российской Федерации"</w:t>
        </w:r>
      </w:hyperlink>
    </w:p>
    <w:p w:rsidR="00DE36EB" w:rsidRDefault="00DE36EB" w:rsidP="00DE36EB">
      <w:pPr>
        <w:pStyle w:val="revannmailrucssattributepostfix"/>
        <w:shd w:val="clear" w:color="auto" w:fill="FFFFFF"/>
        <w:spacing w:line="273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Минэкономразвития разработало проект комплексного закона о государственном контроле (надзоре) и муниципальном контроле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Заявляется, что целями предлагаемого регулирования являются: снижение избыточного административного давления на хозяйствующих субъектов и граждан; обеспечение соблюдения хозяйствующими субъектами и гражданами обязательных требований; концентрация усилий контрольно-надзорных органов на контролируемых лицах, несущих наибольший риск причинения вреда (ущерба) охраняемым законом ценностям; повышение эффективности использования материальных, финансовых и иных ресурсов, выделяемых на обеспечение контрольно-надзорной деятельности государства.</w:t>
      </w:r>
      <w:proofErr w:type="gramEnd"/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По мнению авторов проекта, его реализация позволит перевести деятельность контрольно-надзорных органов с "карательного" на превентивный подход. Такой подход означает, что деятельность контрольно-надзорных органов должна превратиться в один из элементов управления сферой общественных отношений. Большая часть работы инспекторов должна быть посвящена именно профилактической деятельности - предотвращению нарушений или их скорейшему исправлению.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В таком ракурсе проектом определяется понятие государственного контроля (надзора), муниципального контроля, а именно как деятельность, направленная на предупреждение и пресечение причинения вреда (ущерба) жизни, здоровью граждан, нравственности, правам и законным интересам граждан и организаций, вреда животным, растениям, окружающей среде, объектам культурного наследия, обороне страны и безопасности государства и иным охраняемым законом ценностям, путем профилактики рисков причинения вреда (ущерба), оценки соблюдения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гражданами и организациями обязательных требований и выявления их нарушений, принятия предусмотренных законодательством мер по пресечению выявленных нарушений, устранению последствий выявленных нарушений или по восстановлению правового положения, существовавшего до нарушения обязательных требований.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Контроль (надзор) осуществляется на основе управления рисками причинения вреда (ущерба), определяющего выбор профилактических и контрольно-надзорных мероприятий, их содержание (включая объем проверяемых обязательных требований), интенсивность и результаты (выделено 6 категорий риска -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от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чрезвычайно высокого до низкого).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Устанавливаются виды контрольных мероприятий, на которые не распространяется действие проектируемого закона.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Определяются, в том числе: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полномочия органов государственной власти РФ, органов государственной власти субъектов РФ, органов местного самоуправления;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предмет и объекты контроля (надзора), порядок его организации;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виды и статус участников отношений контроля (надзора);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процедура профилактики рисков причинения вреда (ущерба) охраняемым законом ценностям, независимой оценки соответствия обязательным требованиям (в т.ч. перечень профилактических мероприятий, к которым относятся в числе прочего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самообследование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профилактический визит и др.);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возможность освобождения контролируемого лица от проведения контрольно-надзорных мероприятий в случае заключения контролируемым лицом со страховой организацией договора страхования рисков причинения вреда (ущерба);</w:t>
      </w:r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процедура контрольно-надзорного производства (в т.ч. виды контрольно-надзорных мероприятий - выездное обследование, контрольная закупка, инспекционный визит, рейд, проверка и др.).</w:t>
      </w:r>
      <w:proofErr w:type="gramEnd"/>
    </w:p>
    <w:p w:rsidR="00DE36EB" w:rsidRDefault="00DE36EB" w:rsidP="00DE36EB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Вступление в силу проекта предполагается с 1 января 2021 года. При этом предусматривается, в частности, что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его вступления в силу,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AC4C44" w:rsidRDefault="00AC4C44" w:rsidP="00AC4C44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hyperlink r:id="rId10" w:tgtFrame="_blank" w:history="1"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Проект Федерального закона N 707755-7</w:t>
        </w:r>
        <w:r>
          <w:rPr>
            <w:rFonts w:ascii="Helvetica" w:hAnsi="Helvetica" w:cs="Helvetica"/>
            <w:b/>
            <w:bCs/>
            <w:color w:val="0077CC"/>
            <w:sz w:val="20"/>
            <w:szCs w:val="20"/>
            <w:u w:val="single"/>
          </w:rPr>
          <w:br/>
        </w:r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"О внесении изменений в статью 54 Семейного кодекса Российской Федерации"</w:t>
        </w:r>
      </w:hyperlink>
    </w:p>
    <w:p w:rsidR="00AC4C44" w:rsidRDefault="00AC4C44" w:rsidP="00AC4C44">
      <w:pPr>
        <w:pStyle w:val="revannmailrucssattributepostfix"/>
        <w:shd w:val="clear" w:color="auto" w:fill="FFFFFF"/>
        <w:spacing w:line="273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Депутаты предлагают закрепить право братьев и сестер на обучение в одной школе</w:t>
      </w:r>
    </w:p>
    <w:p w:rsidR="00AC4C44" w:rsidRDefault="00AC4C44" w:rsidP="00AC4C44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В статью 54 Семейного кодекса РФ "Право ребенка жить и воспитываться в семье" вносится дополнение, согласно которому проживающие в одной семье и имеющие общее место жительства дети имеют право преимущественного приема на обучение по программам начального общего образования в государственные и муниципальные образовательные организации, в которых обучаются их братья и сестры.</w:t>
      </w:r>
      <w:proofErr w:type="gramEnd"/>
    </w:p>
    <w:p w:rsidR="00AC4C44" w:rsidRDefault="00AC4C44" w:rsidP="00AC4C44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 этой же статье поправками также закрепляется право ребенка на образование.</w:t>
      </w:r>
    </w:p>
    <w:p w:rsidR="00AC4C44" w:rsidRDefault="00AC4C44" w:rsidP="00AC4C44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hyperlink r:id="rId11" w:tgtFrame="_blank" w:history="1"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 xml:space="preserve">&lt;Письмо&gt; </w:t>
        </w:r>
        <w:proofErr w:type="spellStart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Рособрнадзора</w:t>
        </w:r>
        <w:proofErr w:type="spellEnd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 xml:space="preserve"> от 08.05.2019 N 10-337</w:t>
        </w:r>
        <w:proofErr w:type="gramStart"/>
        <w:r>
          <w:rPr>
            <w:rFonts w:ascii="Helvetica" w:hAnsi="Helvetica" w:cs="Helvetica"/>
            <w:b/>
            <w:bCs/>
            <w:color w:val="0077CC"/>
            <w:sz w:val="20"/>
            <w:szCs w:val="20"/>
            <w:u w:val="single"/>
          </w:rPr>
          <w:br/>
        </w:r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&lt;П</w:t>
        </w:r>
        <w:proofErr w:type="gramEnd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 xml:space="preserve">о вопросу </w:t>
        </w:r>
        <w:proofErr w:type="spellStart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трактования</w:t>
        </w:r>
        <w:proofErr w:type="spellEnd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 xml:space="preserve"> норм, содержащихся в пункте 94 Порядка проведения государственной итоговой аттестации по образовательным программам среднего общего образования, утв. Приказом </w:t>
        </w:r>
        <w:proofErr w:type="spellStart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Минпросвещения</w:t>
        </w:r>
        <w:proofErr w:type="spellEnd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 xml:space="preserve"> России N 190, </w:t>
        </w:r>
        <w:proofErr w:type="spellStart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Рособрнадзора</w:t>
        </w:r>
        <w:proofErr w:type="spellEnd"/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 xml:space="preserve"> N 1512 от 07.11.2018&gt;</w:t>
        </w:r>
      </w:hyperlink>
    </w:p>
    <w:p w:rsidR="00AC4C44" w:rsidRDefault="00AC4C44" w:rsidP="00AC4C44">
      <w:pPr>
        <w:pStyle w:val="revannmailrucssattributepostfix"/>
        <w:shd w:val="clear" w:color="auto" w:fill="FFFFFF"/>
        <w:spacing w:line="273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Разъяснен порядок повторной сдачи ЕГЭ лицами, чьи результаты экзаменов были аннулированы</w:t>
      </w:r>
    </w:p>
    <w:p w:rsidR="00AC4C44" w:rsidRDefault="00AC4C44" w:rsidP="00AC4C44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Сообщается, в частности, что указанным лицам, не прошедшим аттестацию по обязательным предметам, предоставляется право пройти ГИА по русскому языку и (или) математике базового уровня не ранее 1 сентября текущего года.</w:t>
      </w:r>
    </w:p>
    <w:p w:rsidR="00AC4C44" w:rsidRDefault="00AC4C44" w:rsidP="00AC4C44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Лицам, чьи результаты ЕГЭ по предметам по выбору в текущем году были аннулированы из-за допущенных ими нарушений, предоставляется право участия в ЕГЭ по данным предметам не ранее чем через год.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Минтруд подготовил график переноса выходных в 2020 году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Проект о праздничных днях сейчас проходит общественное обсуждение.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Новогодние каникулы продлятся восемь дней - с 1 по 8 января.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Длинными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Минтруд запланировал и майские выходные. Сначала пять дней - с 1 по 5 мая, а потом еще три - с 9 по 11 мая.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 три дня выделено на праздники: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 в феврале - с 22-го по 24-е;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марте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- с 7-го по 9-е;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июне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- с 12-го по 14-е.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Самым коротким выходным может стать День народного единства. Его будут праздновать один день - 4 ноября.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>Документы: Проект постановления Правительства РФ (</w:t>
      </w:r>
      <w:hyperlink r:id="rId12" w:tgtFrame="_blank" w:history="1">
        <w:r>
          <w:rPr>
            <w:rStyle w:val="a5"/>
            <w:rFonts w:ascii="Helvetica" w:hAnsi="Helvetica" w:cs="Helvetica"/>
            <w:i/>
            <w:iCs/>
            <w:color w:val="0077CC"/>
            <w:sz w:val="20"/>
            <w:szCs w:val="20"/>
          </w:rPr>
          <w:t>https://regulation.gov.ru/p/91161</w:t>
        </w:r>
      </w:hyperlink>
      <w:r>
        <w:rPr>
          <w:rFonts w:ascii="Helvetica" w:hAnsi="Helvetica" w:cs="Helvetica"/>
          <w:i/>
          <w:iCs/>
          <w:color w:val="000000"/>
          <w:sz w:val="20"/>
          <w:szCs w:val="20"/>
        </w:rPr>
        <w:t>)</w:t>
      </w:r>
    </w:p>
    <w:p w:rsidR="009C1583" w:rsidRDefault="009C1583" w:rsidP="009C1583">
      <w:pPr>
        <w:pStyle w:val="a3"/>
        <w:shd w:val="clear" w:color="auto" w:fill="FFFFFF"/>
        <w:spacing w:line="273" w:lineRule="atLeast"/>
        <w:jc w:val="both"/>
        <w:rPr>
          <w:rFonts w:ascii="Helvetica" w:hAnsi="Helvetica" w:cs="Helvetica"/>
          <w:color w:val="000000"/>
          <w:sz w:val="20"/>
          <w:szCs w:val="20"/>
        </w:rPr>
      </w:pPr>
      <w:hyperlink r:id="rId13" w:tgtFrame="_blank" w:tooltip="Путеводители КонсультантПлюс доступны в коммерческой версии системы КонсультантПлюс. Эти уникальные аналитические материалы описывают порядок решения большинства практических вопросов, которые возникают в работе специалистов. Путеводители регулярно актуализируются." w:history="1">
        <w:r>
          <w:rPr>
            <w:rStyle w:val="a5"/>
            <w:rFonts w:ascii="Helvetica" w:hAnsi="Helvetica" w:cs="Helvetica"/>
            <w:i/>
            <w:iCs/>
            <w:color w:val="0077CC"/>
            <w:sz w:val="20"/>
            <w:szCs w:val="20"/>
          </w:rPr>
          <w:t>Как привлечь к работе в выходные и праздничные дни</w:t>
        </w:r>
      </w:hyperlink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hyperlink r:id="rId14" w:tgtFrame="_blank" w:history="1"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&lt;Информация&gt; ФСС РФ от 07.05.2019</w:t>
        </w:r>
        <w:r>
          <w:rPr>
            <w:rFonts w:ascii="Helvetica" w:hAnsi="Helvetica" w:cs="Helvetica"/>
            <w:b/>
            <w:bCs/>
            <w:color w:val="0077CC"/>
            <w:sz w:val="20"/>
            <w:szCs w:val="20"/>
            <w:u w:val="single"/>
          </w:rPr>
          <w:br/>
        </w:r>
        <w:r>
          <w:rPr>
            <w:rStyle w:val="a5"/>
            <w:rFonts w:ascii="Helvetica" w:hAnsi="Helvetica" w:cs="Helvetica"/>
            <w:b/>
            <w:bCs/>
            <w:color w:val="0077CC"/>
            <w:sz w:val="20"/>
            <w:szCs w:val="20"/>
          </w:rPr>
          <w:t>"С 1 мая 2019 года все выплаты гражданам, подвергшимся воздействию радиации, и пособия по материнству зачисляются на карты "Мир"</w:t>
        </w:r>
      </w:hyperlink>
    </w:p>
    <w:p w:rsidR="009C1583" w:rsidRDefault="009C1583" w:rsidP="009C1583">
      <w:pPr>
        <w:pStyle w:val="revannmailrucssattributepostfix"/>
        <w:shd w:val="clear" w:color="auto" w:fill="FFFFFF"/>
        <w:spacing w:line="273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С 1 мая 2019 года ряд социальных выплат будет зачисляться ФСС РФ в обязательном порядке на карты "Мир"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Постановлением Правительства РФ от 11.04.2019 N 419 дополнен перечень социальных выплат, которые должны перечисляться на карту "МИР".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В этой связи ФСС РФ сообщает, что с 1 мая 2019 года на карту "МИР" будут перечисляться: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пособие по временной нетрудоспособности (только в отношении граждан, подвергшихся воздействию радиации);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пособие по беременности и родам;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единовременное пособие женщинам, вставшим на учет в медицинских организациях в ранние сроки беременности;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единовременное пособие при рождении ребенка;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ежемесячное пособие по уходу за ребенком.</w:t>
      </w:r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Вместе с тем обращено внимание на то, что выплаты страхового обеспечения, в том числе ежемесячного пособия по уходу за ребенком до достижения возраста 1,5 лет, могут продолжать перечисляться по реквизитам банковского счета, операции по которому осуществляются с использованием иных платежных карт, до завершения страхового случая либо истечения срока действия платежной карты, но не позднее 01.07.2020.</w:t>
      </w:r>
      <w:proofErr w:type="gramEnd"/>
    </w:p>
    <w:p w:rsidR="009C1583" w:rsidRDefault="009C1583" w:rsidP="009C1583">
      <w:pPr>
        <w:pStyle w:val="a3"/>
        <w:shd w:val="clear" w:color="auto" w:fill="FFFFFF"/>
        <w:spacing w:line="273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Кроме того сообщается, что выплаты страхового обеспечения, ранее осуществляемые в пользу застрахованных лиц по реквизитам карты "Мир" в регионах, участвующих в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пилотном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проекте "Прямые выплаты", после 01.05.2019 будут продолжать осуществляться в прежнем порядке.</w:t>
      </w:r>
    </w:p>
    <w:p w:rsidR="003B51B7" w:rsidRDefault="003B51B7"/>
    <w:sectPr w:rsidR="003B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EB"/>
    <w:rsid w:val="003B51B7"/>
    <w:rsid w:val="0055687E"/>
    <w:rsid w:val="009C1583"/>
    <w:rsid w:val="00AC4C44"/>
    <w:rsid w:val="00D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6EB"/>
    <w:rPr>
      <w:b/>
      <w:bCs/>
    </w:rPr>
  </w:style>
  <w:style w:type="character" w:customStyle="1" w:styleId="apple-converted-space">
    <w:name w:val="apple-converted-space"/>
    <w:basedOn w:val="a0"/>
    <w:rsid w:val="00DE36EB"/>
  </w:style>
  <w:style w:type="character" w:styleId="a5">
    <w:name w:val="Hyperlink"/>
    <w:basedOn w:val="a0"/>
    <w:uiPriority w:val="99"/>
    <w:semiHidden/>
    <w:unhideWhenUsed/>
    <w:rsid w:val="00DE36E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DE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fd/2019-05-20/click/consultant/?dst=http%3A%2F%2Fwww.consultant.ru%2Flaw%2Freview%2Flink%2F%3Fid%3D207293792%23utm_campaign%3Dfd%26utm_source%3Dconsultant%26utm_medium%3Demail%26utm_content%3Dbody" TargetMode="External"/><Relationship Id="rId13" Type="http://schemas.openxmlformats.org/officeDocument/2006/relationships/hyperlink" Target="http://www.consultant.ru/cabinet/stat/nw/2019-05-13/click/consultant/?dst=http%3A%2F%2Fwww.consultant.ru%2Fabout%2Fsoftware%2Fguide_3%2FPKV_280%2F%23utm_campaign%3Dnw%26utm_source%3Dconsultant%26utm_medium%3Demail%26utm_content%3Dbo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abinet/stat/nw/2019-05-20/click/consultant/?dst=http%3A%2F%2Fwww.consultant.ru%2Fcons%2Fcgi%2Fonline.cgi%3Freq%3Ddoc%3Bbase%3DPRJ%3Bn%3D178345%3Bdst%3D100008%23utm_campaign%3Dnw%26utm_source%3Dconsultant%26utm_medium%3Demail%26utm_content%3Dbody" TargetMode="External"/><Relationship Id="rId12" Type="http://schemas.openxmlformats.org/officeDocument/2006/relationships/hyperlink" Target="http://www.consultant.ru/cabinet/stat/nw/2019-05-13/click/consultant/?dst=https%3A%2F%2Fregulation.gov.ru%2Fp%2F91161%23utm_campaign%3Dnw%26utm_source%3Dconsultant%26utm_medium%3Demail%26utm_content%3Dbody&amp;c=31D7AC103B48848F06ED1FF8871A746BB723437E4C4566811EFA12984D82BB5E85AE00DDC8313D3E6055A768FA9F751176B5E01EFE267F43E5D718397D6A0426E29D09457DEC5384C9D0CCD53DA79FB6343CCC8740C7D106F121A7D2092806A864D0C9E0235A62C693F2EE01C3D29CEDF24E8BE4699B59945CCD8F4A05DEB77E92DDF71C9DF035D1B56EAC8B684023558735B83344DF7B3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cabinet/stat/nw/2019-05-20/click/consultant/?dst=http%3A%2F%2Fwww.consultant.ru%2Fcons%2Fcgi%2Fonline.cgi%3Freq%3Ddoc%3Bbase%3DCJI%3Bn%3D118037%3Bdst%3D3004%23utm_campaign%3Dnw%26utm_source%3Dconsultant%26utm_medium%3Demail%26utm_content%3Dbody" TargetMode="External"/><Relationship Id="rId11" Type="http://schemas.openxmlformats.org/officeDocument/2006/relationships/hyperlink" Target="http://www.consultant.ru/cabinet/stat/fd/2019-05-15/click/consultant/?dst=http%3A%2F%2Fwww.consultant.ru%2Fdocument%2Fcons_doc_LAW_324364%2F%23utm_campaign%3Dfd%26utm_source%3Dconsultant%26utm_medium%3Demail%26utm_content%3Dbody" TargetMode="External"/><Relationship Id="rId5" Type="http://schemas.openxmlformats.org/officeDocument/2006/relationships/hyperlink" Target="http://www.consultant.ru/cabinet/stat/nw/2019-05-20/click/consultant/?dst=http%3A%2F%2Fwww.consultant.ru%2Fcons%2Fcgi%2Fonline.cgi%3Freq%3Ddoc%3Bbase%3DLAW%3Bn%3D323875%3Bdst%3D8458%23utm_campaign%3Dnw%26utm_source%3Dconsultant%26utm_medium%3Demail%26utm_content%3Dbod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cabinet/stat/fd/2019-05-15/click/consultant/?dst=%2F%2Fstatic.consultant.ru%2Fobj%2Ffile%2Fdoc%2Ffz_140519.pdf%23utm_campaign%3Dfd%26utm_source%3Dconsultant%26utm_medium%3Demail%26utm_content%3Dbody" TargetMode="External"/><Relationship Id="rId4" Type="http://schemas.openxmlformats.org/officeDocument/2006/relationships/hyperlink" Target="http://www.consultant.ru/cabinet/stat/nw/2019-05-20/click/consultant/?dst=http%3A%2F%2Fwww.consultant.ru%2Fcons%2Fcgi%2Fonline.cgi%3Freq%3Ddoc%3Bbase%3DLAW%3Bn%3D323875%3Bdst%3D100163%23utm_campaign%3Dnw%26utm_source%3Dconsultant%26utm_medium%3Demail%26utm_content%3Dbody" TargetMode="External"/><Relationship Id="rId9" Type="http://schemas.openxmlformats.org/officeDocument/2006/relationships/hyperlink" Target="http://www.consultant.ru/cabinet/stat/fd/2019-05-20/click/consultant/?dst=%2F%2Fstatic.consultant.ru%2Fobj%2Ffile%2Fdoc%2Fpr_fz170519.rtf%23utm_campaign%3Dfd%26utm_source%3Dconsultant%26utm_medium%3Demail%26utm_content%3Dbody" TargetMode="External"/><Relationship Id="rId14" Type="http://schemas.openxmlformats.org/officeDocument/2006/relationships/hyperlink" Target="http://www.consultant.ru/cabinet/stat/fd/2019-05-13/click/consultant/?dst=http%3A%2F%2Fwww.consultant.ru%2Flaw%2Freview%2Flink%2F%3Fid%3D207289459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 Управление образованием ПГО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Инна Владимировна</cp:lastModifiedBy>
  <cp:revision>3</cp:revision>
  <dcterms:created xsi:type="dcterms:W3CDTF">2019-05-21T02:00:00Z</dcterms:created>
  <dcterms:modified xsi:type="dcterms:W3CDTF">2019-05-21T02:59:00Z</dcterms:modified>
</cp:coreProperties>
</file>